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40" w:line="276" w:lineRule="auto"/>
        <w:jc w:val="right"/>
      </w:pPr>
    </w:p>
    <w:p>
      <w:pPr>
        <w:spacing w:before="0" w:after="240" w:line="276" w:lineRule="auto"/>
        <w:jc w:val="right"/>
      </w:pPr>
    </w:p>
    <w:p>
      <w:pPr>
        <w:spacing w:before="0" w:after="240" w:line="276" w:lineRule="auto"/>
        <w:jc w:val="right"/>
      </w:pPr>
    </w:p>
    <w:p>
      <w:pPr>
        <w:spacing w:before="0" w:after="120" w:line="276" w:lineRule="auto"/>
        <w:jc w:val="center"/>
      </w:pPr>
      <w:r>
        <w:rPr>
          <w:b/>
          <w:color w:val="800020"/>
          <w:sz w:val="52"/>
        </w:rPr>
        <w:t>العرض الفني والمالي المتكامل</w:t>
      </w:r>
    </w:p>
    <w:p>
      <w:pPr>
        <w:spacing w:before="0" w:after="120" w:line="276" w:lineRule="auto"/>
        <w:jc w:val="center"/>
      </w:pPr>
      <w:r>
        <w:rPr>
          <w:b/>
          <w:color w:val="B8860B"/>
          <w:sz w:val="32"/>
        </w:rPr>
        <w:t>منصة FMCG ERP + CRM + المتجر الإلكتروني</w:t>
      </w:r>
    </w:p>
    <w:p>
      <w:pPr>
        <w:spacing w:before="0" w:after="120" w:line="276" w:lineRule="auto"/>
        <w:jc w:val="center"/>
      </w:pPr>
      <w:r>
        <w:rPr>
          <w:color w:val="3C3C3C"/>
          <w:sz w:val="22"/>
        </w:rPr>
        <w:t>منظومة متكاملة لتوزيع مستحضرات العناية بالبشرة والشعر والتجميل</w:t>
        <w:br/>
        <w:t>(إدارة ميدانية للتوزيع، إدارة علاقات عملاء، بيع رقمي مباشر، وهوية رقمية موثقة .com.eg)</w:t>
      </w:r>
    </w:p>
    <w:p>
      <w:pPr>
        <w:spacing w:before="0" w:after="240" w:line="276" w:lineRule="auto"/>
        <w:jc w:val="right"/>
      </w:pPr>
    </w:p>
    <w:p>
      <w:pPr>
        <w:spacing w:before="0" w:after="240" w:line="276" w:lineRule="auto"/>
        <w:jc w:val="right"/>
      </w:pPr>
    </w:p>
    <w:p>
      <w:pPr>
        <w:spacing w:before="0" w:after="240" w:line="276" w:lineRule="auto"/>
        <w:jc w:val="right"/>
      </w:pPr>
    </w:p>
    <w:p>
      <w:pPr>
        <w:spacing w:before="0" w:after="240" w:line="276" w:lineRule="auto"/>
        <w:jc w:val="right"/>
      </w:pPr>
    </w:p>
    <w:p>
      <w:pPr>
        <w:spacing w:before="0" w:after="240" w:line="276" w:lineRule="auto"/>
        <w:jc w:val="right"/>
      </w:pPr>
    </w:p>
    <w:p>
      <w:pPr>
        <w:spacing w:before="0" w:after="120" w:line="312" w:lineRule="auto"/>
        <w:jc w:val="center"/>
      </w:pPr>
      <w:r>
        <w:rPr>
          <w:b/>
          <w:sz w:val="24"/>
        </w:rPr>
        <w:t>مُقدّم إلى: إدارة شركة توزيع منتجات العناية بالبشرة والشعر</w:t>
        <w:br/>
      </w:r>
      <w:r>
        <w:rPr>
          <w:sz w:val="22"/>
        </w:rPr>
        <w:t>مُعد بواسطة: فريق تطوير نظام FMCG ERP</w:t>
        <w:br/>
        <w:t>التاريخ: يوليو 2026</w:t>
        <w:br/>
        <w:t>الرابط التجريبي: https://bscstore.itvally.com</w:t>
        <w:br/>
        <w:t>العملة المعتمدة: الجنيه المصري (ج.م)</w:t>
        <w:br/>
      </w:r>
    </w:p>
    <w:p>
      <w:r>
        <w:br w:type="page"/>
      </w:r>
    </w:p>
    <w:p>
      <w:pPr>
        <w:keepNext/>
        <w:spacing w:before="240" w:after="120"/>
        <w:jc w:val="right"/>
      </w:pPr>
      <w:r>
        <w:rPr>
          <w:rFonts w:ascii="Arial" w:hAnsi="Arial"/>
          <w:b/>
          <w:color w:val="800020"/>
          <w:sz w:val="36"/>
          <w:lang w:val="ar-EG"/>
        </w:rPr>
        <w:t>1. الملخص التنفيذي وأهداف المشروع</w:t>
      </w:r>
    </w:p>
    <w:p>
      <w:pPr>
        <w:spacing w:before="0" w:after="120" w:line="276" w:lineRule="auto"/>
        <w:jc w:val="right"/>
      </w:pPr>
      <w:r>
        <w:t>يهدف المشروع المتكامل إلى بناء منظومة رقمية شاملة لإدارة كافة حلقات العمل في شركات توزيع مستحضرات العناية بالبشرة والشعر والتجميل، بدءاً من التوزيع الميداني عبر أسطول السيارات، مروراً بإدارة العلاقة مع العملاء الاستراتيجيين عبر وحدة CRM مخصصة، وصولاً إلى فتح قناة بيع رقمية مباشرة عبر متجر إلكتروني، تحت هوية رقمية مصرية موثقة بنطاق (.com.eg) خاص باسم الشركة.</w:t>
      </w:r>
    </w:p>
    <w:p>
      <w:pPr>
        <w:spacing w:before="0" w:after="120" w:line="276" w:lineRule="auto"/>
        <w:jc w:val="right"/>
      </w:pPr>
      <w:r>
        <w:t>يعامل النظام كل سيارة توزيع كأنها مستودع متنقل، ونقطة بيع (POS) ذكية، ومحصل مالي في آن واحد، بينما تتولى وحدة الـ CRM إدارة علاقات كبار العملاء والحملات الترويجية، ويفتح المتجر الإلكتروني قناة بيع جديدة للمستهلك النهائي وعملاء الجملة دون تعارض مع عمل المناديب الميدانيين، وذلك اعتماداً على قاعدة بيانات موحّدة للعميل الواحد عبر كل الأنظمة.</w:t>
      </w:r>
    </w:p>
    <w:p>
      <w:pPr>
        <w:keepNext/>
        <w:spacing w:before="240" w:after="120"/>
        <w:jc w:val="right"/>
      </w:pPr>
      <w:r>
        <w:rPr>
          <w:rFonts w:ascii="Arial" w:hAnsi="Arial"/>
          <w:b/>
          <w:color w:val="B8860B"/>
          <w:sz w:val="28"/>
          <w:lang w:val="ar-EG"/>
        </w:rPr>
        <w:t>المشكلات الأساسية التي تحلها المنظومة:</w:t>
      </w:r>
    </w:p>
    <w:p>
      <w:pPr>
        <w:spacing w:after="80"/>
        <w:ind w:left="360" w:right="360"/>
        <w:jc w:val="right"/>
      </w:pPr>
      <w:r>
        <w:rPr>
          <w:rFonts w:ascii="Arial" w:hAnsi="Arial"/>
          <w:b/>
          <w:color w:val="800020"/>
        </w:rPr>
        <w:t xml:space="preserve">•  </w:t>
      </w:r>
      <w:r>
        <w:rPr>
          <w:rFonts w:ascii="Arial" w:hAnsi="Arial"/>
          <w:sz w:val="22"/>
          <w:lang w:val="ar-EG"/>
        </w:rPr>
        <w:t>غياب الرؤية اللحظية لمخزون السيارات: تتبع حي للأصناف المحمَّلة على كل سيارة لحظة بلحظة.</w:t>
      </w:r>
    </w:p>
    <w:p>
      <w:pPr>
        <w:spacing w:after="80"/>
        <w:ind w:left="360" w:right="360"/>
        <w:jc w:val="right"/>
      </w:pPr>
      <w:r>
        <w:rPr>
          <w:rFonts w:ascii="Arial" w:hAnsi="Arial"/>
          <w:b/>
          <w:color w:val="800020"/>
        </w:rPr>
        <w:t xml:space="preserve">•  </w:t>
      </w:r>
      <w:r>
        <w:rPr>
          <w:rFonts w:ascii="Arial" w:hAnsi="Arial"/>
          <w:sz w:val="22"/>
          <w:lang w:val="ar-EG"/>
        </w:rPr>
        <w:t>انقطاع الإنترنت الميداني: التطبيق المحمول يعمل بشكل كامل دون اتصال بالإنترنت (Offline-first) لمنع خسارة المبيعات.</w:t>
      </w:r>
    </w:p>
    <w:p>
      <w:pPr>
        <w:spacing w:after="80"/>
        <w:ind w:left="360" w:right="360"/>
        <w:jc w:val="right"/>
      </w:pPr>
      <w:r>
        <w:rPr>
          <w:rFonts w:ascii="Arial" w:hAnsi="Arial"/>
          <w:b/>
          <w:color w:val="800020"/>
        </w:rPr>
        <w:t xml:space="preserve">•  </w:t>
      </w:r>
      <w:r>
        <w:rPr>
          <w:rFonts w:ascii="Arial" w:hAnsi="Arial"/>
          <w:sz w:val="22"/>
          <w:lang w:val="ar-EG"/>
        </w:rPr>
        <w:t>أخطاء التسوية اليدوية للمناديب: تسوية آلية وشاملة للمبيعات والمقبوضات النقدية والمرتجع في نهاية كل يوم عمل.</w:t>
      </w:r>
    </w:p>
    <w:p>
      <w:pPr>
        <w:spacing w:after="80"/>
        <w:ind w:left="360" w:right="360"/>
        <w:jc w:val="right"/>
      </w:pPr>
      <w:r>
        <w:rPr>
          <w:rFonts w:ascii="Arial" w:hAnsi="Arial"/>
          <w:b/>
          <w:color w:val="800020"/>
        </w:rPr>
        <w:t xml:space="preserve">•  </w:t>
      </w:r>
      <w:r>
        <w:rPr>
          <w:rFonts w:ascii="Arial" w:hAnsi="Arial"/>
          <w:sz w:val="22"/>
          <w:lang w:val="ar-EG"/>
        </w:rPr>
        <w:t>غياب التحكم في مبيعات الآجل: محرك ائتماني متكامل يتحقق من أرصدة العملاء وحدودهم الائتمانية بشكل صارم.</w:t>
      </w:r>
    </w:p>
    <w:p>
      <w:pPr>
        <w:spacing w:after="80"/>
        <w:ind w:left="360" w:right="360"/>
        <w:jc w:val="right"/>
      </w:pPr>
      <w:r>
        <w:rPr>
          <w:rFonts w:ascii="Arial" w:hAnsi="Arial"/>
          <w:b/>
          <w:color w:val="800020"/>
        </w:rPr>
        <w:t xml:space="preserve">•  </w:t>
      </w:r>
      <w:r>
        <w:rPr>
          <w:rFonts w:ascii="Arial" w:hAnsi="Arial"/>
          <w:sz w:val="22"/>
          <w:lang w:val="ar-EG"/>
        </w:rPr>
        <w:t>الاعتماد على الفواتير الورقية: فواتير إلكترونية تُطبع مباشرة من التطبيق عبر البلوتوث، مع إمكانية إرسال الفاتورة عبر واتساب.</w:t>
      </w:r>
    </w:p>
    <w:p>
      <w:pPr>
        <w:spacing w:after="80"/>
        <w:ind w:left="360" w:right="360"/>
        <w:jc w:val="right"/>
      </w:pPr>
      <w:r>
        <w:rPr>
          <w:rFonts w:ascii="Arial" w:hAnsi="Arial"/>
          <w:b/>
          <w:color w:val="800020"/>
        </w:rPr>
        <w:t xml:space="preserve">•  </w:t>
      </w:r>
      <w:r>
        <w:rPr>
          <w:rFonts w:ascii="Arial" w:hAnsi="Arial"/>
          <w:sz w:val="22"/>
          <w:lang w:val="ar-EG"/>
        </w:rPr>
        <w:t>غياب إدارة ممنهجة لعلاقات كبار العملاء: وحدة CRM مخصصة لمتابعة الصيدليات الكبرى وسلاسل التجزئة بتارجت مبيعات واضح وحملات ترويجية موجهة.</w:t>
      </w:r>
    </w:p>
    <w:p>
      <w:pPr>
        <w:spacing w:after="80"/>
        <w:ind w:left="360" w:right="360"/>
        <w:jc w:val="right"/>
      </w:pPr>
      <w:r>
        <w:rPr>
          <w:rFonts w:ascii="Arial" w:hAnsi="Arial"/>
          <w:b/>
          <w:color w:val="800020"/>
        </w:rPr>
        <w:t xml:space="preserve">•  </w:t>
      </w:r>
      <w:r>
        <w:rPr>
          <w:rFonts w:ascii="Arial" w:hAnsi="Arial"/>
          <w:sz w:val="22"/>
          <w:lang w:val="ar-EG"/>
        </w:rPr>
        <w:t>الاقتصار على قنوات البيع التقليدية: متجر إلكتروني B2C وبوابة طلبات B2B يفتحان قناة بيع رقمية مباشرة متاحة على مدار الساعة.</w:t>
      </w:r>
    </w:p>
    <w:p>
      <w:pPr>
        <w:spacing w:after="80"/>
        <w:ind w:left="360" w:right="360"/>
        <w:jc w:val="right"/>
      </w:pPr>
      <w:r>
        <w:rPr>
          <w:rFonts w:ascii="Arial" w:hAnsi="Arial"/>
          <w:b/>
          <w:color w:val="800020"/>
        </w:rPr>
        <w:t xml:space="preserve">•  </w:t>
      </w:r>
      <w:r>
        <w:rPr>
          <w:rFonts w:ascii="Arial" w:hAnsi="Arial"/>
          <w:sz w:val="22"/>
          <w:lang w:val="ar-EG"/>
        </w:rPr>
        <w:t>غياب الهوية الرقمية الرسمية للشركة: تسجيل نطاق (.com.eg) مصري موثق يعزز ثقة العملاء ويحسّن الظهور في نتائج البحث المحلية.</w:t>
      </w:r>
    </w:p>
    <w:p>
      <w:pPr>
        <w:keepNext/>
        <w:spacing w:before="240" w:after="120"/>
        <w:jc w:val="right"/>
      </w:pPr>
      <w:r>
        <w:rPr>
          <w:rFonts w:ascii="Arial" w:hAnsi="Arial"/>
          <w:b/>
          <w:color w:val="800020"/>
          <w:sz w:val="36"/>
          <w:lang w:val="ar-EG"/>
        </w:rPr>
        <w:t>2. المواصفات الفنية والبنية التقنية للبرنامج</w:t>
      </w:r>
    </w:p>
    <w:p>
      <w:pPr>
        <w:spacing w:before="0" w:after="120" w:line="276" w:lineRule="auto"/>
        <w:jc w:val="right"/>
      </w:pPr>
      <w:r>
        <w:t>تم بناء منصة BSC Store / FMCG ERP وفقاً لأحدث البنى البرمجية المستقرة والمستقلة، وتتكوّن الآن من خمسة أقسام برمجية رئيسية مترابطة، تشترك جميعها في قاعدة بيانات موحّدة للعميل الواحد (Single Customer View) بين التوزيع الميداني والـ CRM والمتجر الإلكتروني:</w:t>
      </w:r>
    </w:p>
    <w:p>
      <w:pPr>
        <w:keepNext/>
        <w:spacing w:before="240" w:after="120"/>
        <w:jc w:val="right"/>
      </w:pPr>
      <w:r>
        <w:rPr>
          <w:rFonts w:ascii="Arial" w:hAnsi="Arial"/>
          <w:b/>
          <w:color w:val="B8860B"/>
          <w:sz w:val="28"/>
          <w:lang w:val="ar-EG"/>
        </w:rPr>
        <w:t>أولاً: التطبيق المحمول للمناديب (React Native Mobile App)</w:t>
      </w:r>
    </w:p>
    <w:p>
      <w:pPr>
        <w:spacing w:before="0" w:after="120" w:line="276" w:lineRule="auto"/>
        <w:jc w:val="right"/>
      </w:pPr>
      <w:r>
        <w:t>تطبيق هاتف ذكي سريع يدعم نظامي Android و iOS مبني بـ React Native 0.74 و Expo SDK 51، ويتميز بالخصائص الفنية التالية:</w:t>
      </w:r>
    </w:p>
    <w:p>
      <w:pPr>
        <w:spacing w:after="80"/>
        <w:ind w:left="360" w:right="360"/>
        <w:jc w:val="right"/>
      </w:pPr>
      <w:r>
        <w:rPr>
          <w:rFonts w:ascii="Arial" w:hAnsi="Arial"/>
          <w:b/>
          <w:color w:val="800020"/>
        </w:rPr>
        <w:t xml:space="preserve">•  </w:t>
      </w:r>
      <w:r>
        <w:rPr>
          <w:rFonts w:ascii="Arial" w:hAnsi="Arial"/>
          <w:sz w:val="22"/>
          <w:lang w:val="ar-EG"/>
        </w:rPr>
        <w:t>قاعدة بيانات محلية فائقة السرعة: استخدام SQLite مع Drizzle ORM لحفظ كافة البيانات والمنتجات على الهاتف مباشرة لضمان السرعة المطلقة دون الحاجة للإنترنت.</w:t>
      </w:r>
    </w:p>
    <w:p>
      <w:pPr>
        <w:spacing w:after="80"/>
        <w:ind w:left="360" w:right="360"/>
        <w:jc w:val="right"/>
      </w:pPr>
      <w:r>
        <w:rPr>
          <w:rFonts w:ascii="Arial" w:hAnsi="Arial"/>
          <w:b/>
          <w:color w:val="800020"/>
        </w:rPr>
        <w:t xml:space="preserve">•  </w:t>
      </w:r>
      <w:r>
        <w:rPr>
          <w:rFonts w:ascii="Arial" w:hAnsi="Arial"/>
          <w:sz w:val="22"/>
          <w:lang w:val="ar-EG"/>
        </w:rPr>
        <w:t>نظام طوابير مزامنة ذكي: تسجيل الفواتير والسندات في طابور محلي (Sync Queue) وإعادة إرسالها تلقائياً للخادم عند توفر الشبكة.</w:t>
      </w:r>
    </w:p>
    <w:p>
      <w:pPr>
        <w:spacing w:after="80"/>
        <w:ind w:left="360" w:right="360"/>
        <w:jc w:val="right"/>
      </w:pPr>
      <w:r>
        <w:rPr>
          <w:rFonts w:ascii="Arial" w:hAnsi="Arial"/>
          <w:b/>
          <w:color w:val="800020"/>
        </w:rPr>
        <w:t xml:space="preserve">•  </w:t>
      </w:r>
      <w:r>
        <w:rPr>
          <w:rFonts w:ascii="Arial" w:hAnsi="Arial"/>
          <w:sz w:val="22"/>
          <w:lang w:val="ar-EG"/>
        </w:rPr>
        <w:t>محرك طباعة البلوتوث (Bluetooth ESC/POS): دعم الطباعة الحرارية المباشرة للفواتير وحسابات العملاء (طابعات 58mm و80mm) مع معالجة وإعادة تشكيل النصوص العربية (Arabic Text Reshaping) لتظهر بشكل صحيح.</w:t>
      </w:r>
    </w:p>
    <w:p>
      <w:pPr>
        <w:spacing w:after="80"/>
        <w:ind w:left="360" w:right="360"/>
        <w:jc w:val="right"/>
      </w:pPr>
      <w:r>
        <w:rPr>
          <w:rFonts w:ascii="Arial" w:hAnsi="Arial"/>
          <w:b/>
          <w:color w:val="800020"/>
        </w:rPr>
        <w:t xml:space="preserve">•  </w:t>
      </w:r>
      <w:r>
        <w:rPr>
          <w:rFonts w:ascii="Arial" w:hAnsi="Arial"/>
          <w:sz w:val="22"/>
          <w:lang w:val="ar-EG"/>
        </w:rPr>
        <w:t>قارئ الباركود بالكاميرا: قراءة أكواد المنتجات والتشغيلات فورياً باستخدام مكتبة Google MLKit عبر الكاميرا.</w:t>
      </w:r>
    </w:p>
    <w:p>
      <w:pPr>
        <w:keepNext/>
        <w:spacing w:before="240" w:after="120"/>
        <w:jc w:val="right"/>
      </w:pPr>
      <w:r>
        <w:rPr>
          <w:rFonts w:ascii="Arial" w:hAnsi="Arial"/>
          <w:b/>
          <w:color w:val="B8860B"/>
          <w:sz w:val="28"/>
          <w:lang w:val="ar-EG"/>
        </w:rPr>
        <w:t>ثانياً: لوحة التحكم الإدارية والتحليلات (React Web Admin)</w:t>
      </w:r>
    </w:p>
    <w:p>
      <w:pPr>
        <w:spacing w:before="0" w:after="120" w:line="276" w:lineRule="auto"/>
        <w:jc w:val="right"/>
      </w:pPr>
      <w:r>
        <w:t>لوحة تحكم ويب سريعة مخصصة للمدراء والمشرفين وأمناء المستودعات، مبنية بـ React 18 + Vite وTailwind CSS + shadcn/ui:</w:t>
      </w:r>
    </w:p>
    <w:p>
      <w:pPr>
        <w:spacing w:after="80"/>
        <w:ind w:left="360" w:right="360"/>
        <w:jc w:val="right"/>
      </w:pPr>
      <w:r>
        <w:rPr>
          <w:rFonts w:ascii="Arial" w:hAnsi="Arial"/>
          <w:b/>
          <w:color w:val="800020"/>
        </w:rPr>
        <w:t xml:space="preserve">•  </w:t>
      </w:r>
      <w:r>
        <w:rPr>
          <w:rFonts w:ascii="Arial" w:hAnsi="Arial"/>
          <w:sz w:val="22"/>
          <w:lang w:val="ar-EG"/>
        </w:rPr>
        <w:t>إدارة شاشات البيانات الفورية: تحميل وعرض البيانات الكبيرة والتقارير في أقل من ثانيتين بالاعتماد على TanStack Query v5.</w:t>
      </w:r>
    </w:p>
    <w:p>
      <w:pPr>
        <w:spacing w:after="80"/>
        <w:ind w:left="360" w:right="360"/>
        <w:jc w:val="right"/>
      </w:pPr>
      <w:r>
        <w:rPr>
          <w:rFonts w:ascii="Arial" w:hAnsi="Arial"/>
          <w:b/>
          <w:color w:val="800020"/>
        </w:rPr>
        <w:t xml:space="preserve">•  </w:t>
      </w:r>
      <w:r>
        <w:rPr>
          <w:rFonts w:ascii="Arial" w:hAnsi="Arial"/>
          <w:sz w:val="22"/>
          <w:lang w:val="ar-EG"/>
        </w:rPr>
        <w:t>لوحة معلومات تفاعلية: رسوم بيانية ومؤشرات مبيعات حية لأداء المناديب وحركة المخزون وتواريخ الصلاحية باستخدام Recharts.</w:t>
      </w:r>
    </w:p>
    <w:p>
      <w:pPr>
        <w:keepNext/>
        <w:spacing w:before="240" w:after="120"/>
        <w:jc w:val="right"/>
      </w:pPr>
      <w:r>
        <w:rPr>
          <w:rFonts w:ascii="Arial" w:hAnsi="Arial"/>
          <w:b/>
          <w:color w:val="B8860B"/>
          <w:sz w:val="28"/>
          <w:lang w:val="ar-EG"/>
        </w:rPr>
        <w:t>ثالثاً: الخلفية وقواعد البيانات (NestJS Backend API)</w:t>
      </w:r>
    </w:p>
    <w:p>
      <w:pPr>
        <w:spacing w:before="0" w:after="120" w:line="276" w:lineRule="auto"/>
        <w:jc w:val="right"/>
      </w:pPr>
      <w:r>
        <w:t>بنية خادم مركزية آمنة مبنية بإطار عمل NestJS (TypeScript) على بيئة Node.js 20 LTS، وتُعد المحور المشترك الذي تتصل به التطبيقات الثلاثة إضافة إلى وحدة الـ CRM والمتجر الإلكتروني:</w:t>
      </w:r>
    </w:p>
    <w:p>
      <w:pPr>
        <w:spacing w:after="80"/>
        <w:ind w:left="360" w:right="360"/>
        <w:jc w:val="right"/>
      </w:pPr>
      <w:r>
        <w:rPr>
          <w:rFonts w:ascii="Arial" w:hAnsi="Arial"/>
          <w:b/>
          <w:color w:val="800020"/>
        </w:rPr>
        <w:t xml:space="preserve">•  </w:t>
      </w:r>
      <w:r>
        <w:rPr>
          <w:rFonts w:ascii="Arial" w:hAnsi="Arial"/>
          <w:sz w:val="22"/>
          <w:lang w:val="ar-EG"/>
        </w:rPr>
        <w:t>قاعدة البيانات الرئيسية: PostgreSQL 15 لضمان سلامة العمليات وتناسق الفواتير والحسابات (ACID Compliance).</w:t>
      </w:r>
    </w:p>
    <w:p>
      <w:pPr>
        <w:spacing w:after="80"/>
        <w:ind w:left="360" w:right="360"/>
        <w:jc w:val="right"/>
      </w:pPr>
      <w:r>
        <w:rPr>
          <w:rFonts w:ascii="Arial" w:hAnsi="Arial"/>
          <w:b/>
          <w:color w:val="800020"/>
        </w:rPr>
        <w:t xml:space="preserve">•  </w:t>
      </w:r>
      <w:r>
        <w:rPr>
          <w:rFonts w:ascii="Arial" w:hAnsi="Arial"/>
          <w:sz w:val="22"/>
          <w:lang w:val="ar-EG"/>
        </w:rPr>
        <w:t>خادم الكاش وطوابير المهام: Redis 7 مدمج مع BullMQ لمعالجة المهام الخلفية الثقيلة مثل معالجة المزامنة الجماعية وتحديث المخزون وتوليد الفواتير.</w:t>
      </w:r>
    </w:p>
    <w:p>
      <w:pPr>
        <w:spacing w:after="80"/>
        <w:ind w:left="360" w:right="360"/>
        <w:jc w:val="right"/>
      </w:pPr>
      <w:r>
        <w:rPr>
          <w:rFonts w:ascii="Arial" w:hAnsi="Arial"/>
          <w:b/>
          <w:color w:val="800020"/>
        </w:rPr>
        <w:t xml:space="preserve">•  </w:t>
      </w:r>
      <w:r>
        <w:rPr>
          <w:rFonts w:ascii="Arial" w:hAnsi="Arial"/>
          <w:sz w:val="22"/>
          <w:lang w:val="ar-EG"/>
        </w:rPr>
        <w:t>نظام تتبع وحفظ العمليات: تدوين كامل لكل تعديل أو عملية في سجل مراقبة وتدقيق تفصيلي (Audit Log).</w:t>
      </w:r>
    </w:p>
    <w:p>
      <w:pPr>
        <w:keepNext/>
        <w:spacing w:before="240" w:after="120"/>
        <w:jc w:val="right"/>
      </w:pPr>
      <w:r>
        <w:rPr>
          <w:rFonts w:ascii="Arial" w:hAnsi="Arial"/>
          <w:b/>
          <w:color w:val="B8860B"/>
          <w:sz w:val="28"/>
          <w:lang w:val="ar-EG"/>
        </w:rPr>
        <w:t>رابعاً: نظام إدارة علاقات العملاء (CRM Module)</w:t>
      </w:r>
    </w:p>
    <w:p>
      <w:pPr>
        <w:spacing w:before="0" w:after="120" w:line="276" w:lineRule="auto"/>
        <w:jc w:val="right"/>
      </w:pPr>
      <w:r>
        <w:t>تُبنى وحدة إدارة علاقات العملاء كامتداد أصيل لنفس الخلفية (NestJS) ونفس لوحة التحكم (React Admin)، لضمان أن يكون سجل العميل الواحد (صيدلية أو سلسلة تجزئة) موحّداً:</w:t>
      </w:r>
    </w:p>
    <w:p>
      <w:pPr>
        <w:spacing w:after="80"/>
        <w:ind w:left="360" w:right="360"/>
        <w:jc w:val="right"/>
      </w:pPr>
      <w:r>
        <w:rPr>
          <w:rFonts w:ascii="Arial" w:hAnsi="Arial"/>
          <w:b/>
          <w:color w:val="800020"/>
        </w:rPr>
        <w:t xml:space="preserve">•  </w:t>
      </w:r>
      <w:r>
        <w:rPr>
          <w:rFonts w:ascii="Arial" w:hAnsi="Arial"/>
          <w:sz w:val="22"/>
          <w:lang w:val="ar-EG"/>
        </w:rPr>
        <w:t>خط سير ومتابعة الصفقات والاتفاقات (Sales Pipeline): متابعة مراحل التفاوض مع العملاء الكبار والعقود السنوية والعروض الخاصة عبر شاشة Kanban تفاعلية.</w:t>
      </w:r>
    </w:p>
    <w:p>
      <w:pPr>
        <w:spacing w:after="80"/>
        <w:ind w:left="360" w:right="360"/>
        <w:jc w:val="right"/>
      </w:pPr>
      <w:r>
        <w:rPr>
          <w:rFonts w:ascii="Arial" w:hAnsi="Arial"/>
          <w:b/>
          <w:color w:val="800020"/>
        </w:rPr>
        <w:t xml:space="preserve">•  </w:t>
      </w:r>
      <w:r>
        <w:rPr>
          <w:rFonts w:ascii="Arial" w:hAnsi="Arial"/>
          <w:sz w:val="22"/>
          <w:lang w:val="ar-EG"/>
        </w:rPr>
        <w:t>نظام تذاكر الشكاوى والدعم (Support Ticketing): تسجيل ومتابعة شكاوى العملاء المتعلقة بالمنتج أو التسليم أو الفوترة حتى الإغلاق.</w:t>
      </w:r>
    </w:p>
    <w:p>
      <w:pPr>
        <w:spacing w:after="80"/>
        <w:ind w:left="360" w:right="360"/>
        <w:jc w:val="right"/>
      </w:pPr>
      <w:r>
        <w:rPr>
          <w:rFonts w:ascii="Arial" w:hAnsi="Arial"/>
          <w:b/>
          <w:color w:val="800020"/>
        </w:rPr>
        <w:t xml:space="preserve">•  </w:t>
      </w:r>
      <w:r>
        <w:rPr>
          <w:rFonts w:ascii="Arial" w:hAnsi="Arial"/>
          <w:sz w:val="22"/>
          <w:lang w:val="ar-EG"/>
        </w:rPr>
        <w:t>تقسيم العملاء والتحليل السلوكي (Customer Segmentation): تصنيف العملاء تلقائياً حسب حجم الشراء والالتزام بالسداد لتوجيه الجهد التجاري.</w:t>
      </w:r>
    </w:p>
    <w:p>
      <w:pPr>
        <w:spacing w:after="80"/>
        <w:ind w:left="360" w:right="360"/>
        <w:jc w:val="right"/>
      </w:pPr>
      <w:r>
        <w:rPr>
          <w:rFonts w:ascii="Arial" w:hAnsi="Arial"/>
          <w:b/>
          <w:color w:val="800020"/>
        </w:rPr>
        <w:t xml:space="preserve">•  </w:t>
      </w:r>
      <w:r>
        <w:rPr>
          <w:rFonts w:ascii="Arial" w:hAnsi="Arial"/>
          <w:sz w:val="22"/>
          <w:lang w:val="ar-EG"/>
        </w:rPr>
        <w:t>محرك الحملات الترويجية متعدد القنوات (Campaign Engine): إرسال حملات مجدولة عبر واتساب (WhatsApp Cloud API) والرسائل النصية والبريد الإلكتروني لتنشيط المنتجات.</w:t>
      </w:r>
    </w:p>
    <w:p>
      <w:pPr>
        <w:spacing w:after="80"/>
        <w:ind w:left="360" w:right="360"/>
        <w:jc w:val="right"/>
      </w:pPr>
      <w:r>
        <w:rPr>
          <w:rFonts w:ascii="Arial" w:hAnsi="Arial"/>
          <w:b/>
          <w:color w:val="800020"/>
        </w:rPr>
        <w:t xml:space="preserve">•  </w:t>
      </w:r>
      <w:r>
        <w:rPr>
          <w:rFonts w:ascii="Arial" w:hAnsi="Arial"/>
          <w:sz w:val="22"/>
          <w:lang w:val="ar-EG"/>
        </w:rPr>
        <w:t>تقويم الزيارات والمهام (Activity &amp; Task Calendar): جدولة زيارات فريق تطوير الأعمال لكبار العملاء بشكل منفصل عن جولات التوزيع اليومية.</w:t>
      </w:r>
    </w:p>
    <w:p>
      <w:pPr>
        <w:keepNext/>
        <w:spacing w:before="240" w:after="120"/>
        <w:jc w:val="right"/>
      </w:pPr>
      <w:r>
        <w:rPr>
          <w:rFonts w:ascii="Arial" w:hAnsi="Arial"/>
          <w:b/>
          <w:color w:val="B8860B"/>
          <w:sz w:val="28"/>
          <w:lang w:val="ar-EG"/>
        </w:rPr>
        <w:t>خامساً: المتجر الإلكتروني (E-commerce Website)</w:t>
      </w:r>
    </w:p>
    <w:p>
      <w:pPr>
        <w:spacing w:before="0" w:after="120" w:line="276" w:lineRule="auto"/>
        <w:jc w:val="right"/>
      </w:pPr>
      <w:r>
        <w:t>واجهة أمامية مستقلة مبنية بـ Next.js 14 (App Router) وTailwind CSS لضمان أعلى سرعة تحميل وأفضل تهيئة لمحركات البحث (SEO):</w:t>
      </w:r>
    </w:p>
    <w:p>
      <w:pPr>
        <w:spacing w:after="80"/>
        <w:ind w:left="360" w:right="360"/>
        <w:jc w:val="right"/>
      </w:pPr>
      <w:r>
        <w:rPr>
          <w:rFonts w:ascii="Arial" w:hAnsi="Arial"/>
          <w:b/>
          <w:color w:val="800020"/>
        </w:rPr>
        <w:t xml:space="preserve">•  </w:t>
      </w:r>
      <w:r>
        <w:rPr>
          <w:rFonts w:ascii="Arial" w:hAnsi="Arial"/>
          <w:sz w:val="22"/>
          <w:lang w:val="ar-EG"/>
        </w:rPr>
        <w:t>متجر البيع المباشر للمستهلك (B2C Storefront): عرض كتالوج المنتجات بالصور والأسعار وسلة شراء وتتبع حالة الطلبات.</w:t>
      </w:r>
    </w:p>
    <w:p>
      <w:pPr>
        <w:spacing w:after="80"/>
        <w:ind w:left="360" w:right="360"/>
        <w:jc w:val="right"/>
      </w:pPr>
      <w:r>
        <w:rPr>
          <w:rFonts w:ascii="Arial" w:hAnsi="Arial"/>
          <w:b/>
          <w:color w:val="800020"/>
        </w:rPr>
        <w:t xml:space="preserve">•  </w:t>
      </w:r>
      <w:r>
        <w:rPr>
          <w:rFonts w:ascii="Arial" w:hAnsi="Arial"/>
          <w:sz w:val="22"/>
          <w:lang w:val="ar-EG"/>
        </w:rPr>
        <w:t>بوابة طلبات الجملة (B2B Ordering Portal): للصيدليات والموزعين الفرعيين، لتصفح الكتالوج بأسعارهم وإرسال طلباتهم متكاملة مع نظام الائتمان بالـ ERP.</w:t>
      </w:r>
    </w:p>
    <w:p>
      <w:pPr>
        <w:spacing w:after="80"/>
        <w:ind w:left="360" w:right="360"/>
        <w:jc w:val="right"/>
      </w:pPr>
      <w:r>
        <w:rPr>
          <w:rFonts w:ascii="Arial" w:hAnsi="Arial"/>
          <w:b/>
          <w:color w:val="800020"/>
        </w:rPr>
        <w:t xml:space="preserve">•  </w:t>
      </w:r>
      <w:r>
        <w:rPr>
          <w:rFonts w:ascii="Arial" w:hAnsi="Arial"/>
          <w:sz w:val="22"/>
          <w:lang w:val="ar-EG"/>
        </w:rPr>
        <w:t>مزامنة لحظية للمخزون والأسعار: متكاملة تماماً لمنع البيع الوهمي وضمان تطابق الأسعار بين كل القنوات.</w:t>
      </w:r>
    </w:p>
    <w:p>
      <w:pPr>
        <w:spacing w:after="80"/>
        <w:ind w:left="360" w:right="360"/>
        <w:jc w:val="right"/>
      </w:pPr>
      <w:r>
        <w:rPr>
          <w:rFonts w:ascii="Arial" w:hAnsi="Arial"/>
          <w:b/>
          <w:color w:val="800020"/>
        </w:rPr>
        <w:t xml:space="preserve">•  </w:t>
      </w:r>
      <w:r>
        <w:rPr>
          <w:rFonts w:ascii="Arial" w:hAnsi="Arial"/>
          <w:sz w:val="22"/>
          <w:lang w:val="ar-EG"/>
        </w:rPr>
        <w:t>بوابات الدفع الإلكتروني المصرية: تكامل مباشر مع Paymob وFawry وInstaPay للدفع الإلكتروني بجانب خيار الدفع عند الاستلام.</w:t>
      </w:r>
    </w:p>
    <w:p>
      <w:pPr>
        <w:spacing w:after="80"/>
        <w:ind w:left="360" w:right="360"/>
        <w:jc w:val="right"/>
      </w:pPr>
      <w:r>
        <w:rPr>
          <w:rFonts w:ascii="Arial" w:hAnsi="Arial"/>
          <w:b/>
          <w:color w:val="800020"/>
        </w:rPr>
        <w:t xml:space="preserve">•  </w:t>
      </w:r>
      <w:r>
        <w:rPr>
          <w:rFonts w:ascii="Arial" w:hAnsi="Arial"/>
          <w:sz w:val="22"/>
          <w:lang w:val="ar-EG"/>
        </w:rPr>
        <w:t>نظام إدارة محتوى مبسّط (Headless CMS): لتحديث صور المنتجات والبانرات والعروض الترويجية بسهولة.</w:t>
      </w:r>
    </w:p>
    <w:p>
      <w:pPr>
        <w:keepNext/>
        <w:spacing w:before="240" w:after="120"/>
        <w:jc w:val="right"/>
      </w:pPr>
      <w:r>
        <w:rPr>
          <w:rFonts w:ascii="Arial" w:hAnsi="Arial"/>
          <w:b/>
          <w:color w:val="B8860B"/>
          <w:sz w:val="28"/>
          <w:lang w:val="ar-EG"/>
        </w:rPr>
        <w:t>سادساً: دورات العمل وخصائص النظام التفصيلية</w:t>
      </w:r>
    </w:p>
    <w:p>
      <w:pPr>
        <w:spacing w:after="80"/>
        <w:ind w:left="360" w:right="360"/>
        <w:jc w:val="right"/>
      </w:pPr>
      <w:r>
        <w:rPr>
          <w:rFonts w:ascii="Arial" w:hAnsi="Arial"/>
          <w:b/>
          <w:color w:val="800020"/>
        </w:rPr>
        <w:t xml:space="preserve">•  </w:t>
      </w:r>
      <w:r>
        <w:rPr>
          <w:rFonts w:ascii="Arial" w:hAnsi="Arial"/>
          <w:sz w:val="22"/>
          <w:lang w:val="ar-EG"/>
        </w:rPr>
        <w:t>دورة الجلسة اليومية للسيارة (Vehicle Session): تبدأ بفتح السائق لجلسته والتأكد من البضاعة المحملة (Opening Stock)، مروراً بالزيارات والتسجيل، وتنتهي بجرد فعلي (Physical Stock Count) للمخلفات وتسوية المقبوضات وإظهار الفروقات لاعتمادها من المشرف.</w:t>
      </w:r>
    </w:p>
    <w:p>
      <w:pPr>
        <w:spacing w:after="80"/>
        <w:ind w:left="360" w:right="360"/>
        <w:jc w:val="right"/>
      </w:pPr>
      <w:r>
        <w:rPr>
          <w:rFonts w:ascii="Arial" w:hAnsi="Arial"/>
          <w:b/>
          <w:color w:val="800020"/>
        </w:rPr>
        <w:t xml:space="preserve">•  </w:t>
      </w:r>
      <w:r>
        <w:rPr>
          <w:rFonts w:ascii="Arial" w:hAnsi="Arial"/>
          <w:sz w:val="22"/>
          <w:lang w:val="ar-EG"/>
        </w:rPr>
        <w:t>دفتر الأستاذ وحركات المخزون (Immutable Movement Ledger): تسجّل حركات المخزن في جدول stock_movements كأحداث بيع أو تحميل أو مرتجع أو تالف غير قابلة للتعديل لضمان الشفافية ومكافحة الاختلاس.</w:t>
      </w:r>
    </w:p>
    <w:p>
      <w:pPr>
        <w:spacing w:after="80"/>
        <w:ind w:left="360" w:right="360"/>
        <w:jc w:val="right"/>
      </w:pPr>
      <w:r>
        <w:rPr>
          <w:rFonts w:ascii="Arial" w:hAnsi="Arial"/>
          <w:b/>
          <w:color w:val="800020"/>
        </w:rPr>
        <w:t xml:space="preserve">•  </w:t>
      </w:r>
      <w:r>
        <w:rPr>
          <w:rFonts w:ascii="Arial" w:hAnsi="Arial"/>
          <w:sz w:val="22"/>
          <w:lang w:val="ar-EG"/>
        </w:rPr>
        <w:t>محرك الائتمان وإدارة الحدود المالية (Credit Limit Engine): نظام مرن لمنع الفواتير الآجلة للعملاء المتعثرين أو الذين تجاوزوا حدودهم الائتمانية، مطبَّق بشكل موحّد بين المناديب والمتجر الإلكتروني، مع إتاحة طلب موافقة وتجاوز من المشرف عبر رمز مرور أمان (Supervisor PIN Override).</w:t>
      </w:r>
    </w:p>
    <w:p>
      <w:pPr>
        <w:spacing w:after="80"/>
        <w:ind w:left="360" w:right="360"/>
        <w:jc w:val="right"/>
      </w:pPr>
      <w:r>
        <w:rPr>
          <w:rFonts w:ascii="Arial" w:hAnsi="Arial"/>
          <w:b/>
          <w:color w:val="800020"/>
        </w:rPr>
        <w:t xml:space="preserve">•  </w:t>
      </w:r>
      <w:r>
        <w:rPr>
          <w:rFonts w:ascii="Arial" w:hAnsi="Arial"/>
          <w:sz w:val="22"/>
          <w:lang w:val="ar-EG"/>
        </w:rPr>
        <w:t>إدارة التشغيلات وتواريخ الصلاحية (Batch &amp; Expiry Tracking): تتبع كامل للمستحضرات التجميلية برقم التشغيلة وتاريخ الانتهاء، وتنبيه الإدارة تلقائياً بالبضائع قريبة الانتهاء لتصريفها.</w:t>
      </w:r>
    </w:p>
    <w:p>
      <w:pPr>
        <w:keepNext/>
        <w:spacing w:before="240" w:after="120"/>
        <w:jc w:val="right"/>
      </w:pPr>
      <w:r>
        <w:rPr>
          <w:rFonts w:ascii="Arial" w:hAnsi="Arial"/>
          <w:b/>
          <w:color w:val="B8860B"/>
          <w:sz w:val="28"/>
          <w:lang w:val="ar-EG"/>
        </w:rPr>
        <w:t>سابعاً: النطاق الإلكتروني والهوية الرقمية (.com.eg)</w:t>
      </w:r>
    </w:p>
    <w:p>
      <w:pPr>
        <w:spacing w:before="0" w:after="120" w:line="276" w:lineRule="auto"/>
        <w:jc w:val="right"/>
      </w:pPr>
      <w:r>
        <w:t>تسجيل نطاق مصري موثّق باسم الشركة تحت امتداد (.com.eg)، وهو الامتداد الرسمي المعتمد من شبكة الجامعات المصرية (EUN) للكيانات التجارية العاملة داخل مصر، ويستلزم تقديم صورة من السجل التجاري والبطاقة الضريبية للشركة.</w:t>
      </w:r>
    </w:p>
    <w:p>
      <w:pPr>
        <w:spacing w:after="80"/>
        <w:ind w:left="360" w:right="360"/>
        <w:jc w:val="right"/>
      </w:pPr>
      <w:r>
        <w:rPr>
          <w:rFonts w:ascii="Arial" w:hAnsi="Arial"/>
          <w:b/>
          <w:color w:val="800020"/>
        </w:rPr>
        <w:t xml:space="preserve">•  </w:t>
      </w:r>
      <w:r>
        <w:rPr>
          <w:rFonts w:ascii="Arial" w:hAnsi="Arial"/>
          <w:sz w:val="22"/>
          <w:lang w:val="ar-EG"/>
        </w:rPr>
        <w:t>تشمل الخدمة: البحث عن توفر الاسم، استخراج واعتماد المستندات الرسمية، ربط النطاق بالمتجر واللوحة والبريد الرسمي، وتفعيل شهادة SSL.</w:t>
      </w:r>
    </w:p>
    <w:p>
      <w:pPr>
        <w:spacing w:after="80"/>
        <w:ind w:left="360" w:right="360"/>
        <w:jc w:val="right"/>
      </w:pPr>
      <w:r>
        <w:rPr>
          <w:rFonts w:ascii="Arial" w:hAnsi="Arial"/>
          <w:b/>
          <w:color w:val="800020"/>
        </w:rPr>
        <w:t xml:space="preserve">•  </w:t>
      </w:r>
      <w:r>
        <w:rPr>
          <w:rFonts w:ascii="Arial" w:hAnsi="Arial"/>
          <w:sz w:val="22"/>
          <w:lang w:val="ar-EG"/>
        </w:rPr>
        <w:t>البعد المحلي والقيمة المضافة: يمنح إشارة ثقة إضافية للعملاء المصريين، ويحسّن ظهور المتجر الإلكتروني في نتائج البحث المحلية داخل مصر.</w:t>
      </w:r>
    </w:p>
    <w:p>
      <w:r>
        <w:br w:type="page"/>
      </w:r>
    </w:p>
    <w:p>
      <w:pPr>
        <w:keepNext/>
        <w:spacing w:before="240" w:after="120"/>
        <w:jc w:val="right"/>
      </w:pPr>
      <w:r>
        <w:rPr>
          <w:rFonts w:ascii="Arial" w:hAnsi="Arial"/>
          <w:b/>
          <w:color w:val="800020"/>
          <w:sz w:val="36"/>
          <w:lang w:val="ar-EG"/>
        </w:rPr>
        <w:t>3. العرض المالي وتفاصيل التكاليف بالجنيه المصري</w:t>
      </w:r>
    </w:p>
    <w:p>
      <w:pPr>
        <w:spacing w:before="0" w:after="120" w:line="276" w:lineRule="auto"/>
        <w:jc w:val="right"/>
      </w:pPr>
      <w:r>
        <w:t>نقدم لكم خيارين للتعاقد والاستفادة من المنظومة المتكاملة (ERP + CRM + المتجر الإلكتروني) بما يتلاءم مع ميزانية ومتطلبات الشركة. الأسعار الموضحة أدناه لا تشمل ضريبة القيمة المضافة (14%) المقررة قانوناً في جمهورية مصر العربية.</w:t>
      </w:r>
    </w:p>
    <w:p>
      <w:pPr>
        <w:keepNext/>
        <w:spacing w:before="240" w:after="120"/>
        <w:jc w:val="right"/>
      </w:pPr>
      <w:r>
        <w:rPr>
          <w:rFonts w:ascii="Arial" w:hAnsi="Arial"/>
          <w:b/>
          <w:color w:val="B8860B"/>
          <w:sz w:val="28"/>
          <w:lang w:val="ar-EG"/>
        </w:rPr>
        <w:t>النموذج الأول: تملك البرنامج الكلي (Lifetime License &amp; Source Code)</w:t>
      </w:r>
    </w:p>
    <w:p>
      <w:pPr>
        <w:spacing w:before="0" w:after="120" w:line="276" w:lineRule="auto"/>
        <w:jc w:val="right"/>
      </w:pPr>
      <w:r>
        <w:t>تركيب المنظومة الكاملة (ERP + CRM + المتجر الإلكتروني) على سيرفرات الشركة الخاصة، وتسليم كود المصدر الكامل والترخيص مدى الحياة لتشغيل جميع التطبيقات دون قيود.</w:t>
      </w:r>
    </w:p>
    <w:tbl>
      <w:tblPr>
        <w:tblW w:type="auto" w:w="0"/>
        <w:jc w:val="center"/>
        <w:tblLook w:firstColumn="1" w:firstRow="1" w:lastColumn="0" w:lastRow="0" w:noHBand="0" w:noVBand="1" w:val="04A0"/>
        <w:tblCellMar>
          <w:top w:w="120" w:type="dxa"/>
          <w:bottom w:w="120" w:type="dxa"/>
          <w:left w:w="150" w:type="dxa"/>
          <w:right w:w="150" w:type="dxa"/>
        </w:tblCellMar>
        <w:bidiVisual/>
      </w:tblPr>
      <w:tblGrid>
        <w:gridCol w:w="3010"/>
        <w:gridCol w:w="3010"/>
        <w:gridCol w:w="3010"/>
      </w:tblGrid>
      <w:tr>
        <w:tc>
          <w:tcPr>
            <w:tcW w:type="dxa" w:w="2592"/>
            <w:shd w:fill="800020"/>
            <w:tcMar>
              <w:top w:w="140" w:type="dxa"/>
              <w:bottom w:w="140" w:type="dxa"/>
              <w:left w:w="180" w:type="dxa"/>
              <w:right w:w="180" w:type="dxa"/>
            </w:tcMar>
          </w:tcPr>
          <w:p>
            <w:pPr>
              <w:spacing w:before="80" w:after="80"/>
              <w:jc w:val="right"/>
            </w:pPr>
            <w:r>
              <w:rPr>
                <w:rFonts w:ascii="Arial" w:hAnsi="Arial"/>
                <w:b/>
                <w:color w:val="FFFFFF"/>
                <w:sz w:val="21"/>
                <w:lang w:val="ar-EG"/>
              </w:rPr>
              <w:t>التكلفة (ج.م)</w:t>
            </w:r>
          </w:p>
        </w:tc>
        <w:tc>
          <w:tcPr>
            <w:tcW w:type="dxa" w:w="6048"/>
            <w:shd w:fill="800020"/>
            <w:tcMar>
              <w:top w:w="140" w:type="dxa"/>
              <w:bottom w:w="140" w:type="dxa"/>
              <w:left w:w="180" w:type="dxa"/>
              <w:right w:w="180" w:type="dxa"/>
            </w:tcMar>
          </w:tcPr>
          <w:p>
            <w:pPr>
              <w:spacing w:before="80" w:after="80"/>
              <w:jc w:val="right"/>
            </w:pPr>
            <w:r>
              <w:rPr>
                <w:rFonts w:ascii="Arial" w:hAnsi="Arial"/>
                <w:b/>
                <w:color w:val="FFFFFF"/>
                <w:sz w:val="21"/>
                <w:lang w:val="ar-EG"/>
              </w:rPr>
              <w:t>البند والخدمات المشمولة</w:t>
            </w:r>
          </w:p>
        </w:tc>
        <w:tc>
          <w:tcPr>
            <w:tcW w:type="dxa" w:w="1152"/>
            <w:shd w:fill="800020"/>
            <w:tcMar>
              <w:top w:w="140" w:type="dxa"/>
              <w:bottom w:w="140" w:type="dxa"/>
              <w:left w:w="180" w:type="dxa"/>
              <w:right w:w="180" w:type="dxa"/>
            </w:tcMar>
          </w:tcPr>
          <w:p>
            <w:pPr>
              <w:spacing w:before="80" w:after="80"/>
              <w:jc w:val="right"/>
            </w:pPr>
            <w:r>
              <w:rPr>
                <w:rFonts w:ascii="Arial" w:hAnsi="Arial"/>
                <w:b/>
                <w:color w:val="FFFFFF"/>
                <w:sz w:val="21"/>
                <w:lang w:val="ar-EG"/>
              </w:rPr>
              <w:t>م</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250,000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ترخيص برنامج الـ ERP مدى الحياة (التطبيق المحمول + لوحة التحكم + الخلفية) وتسليم كود المصدر الكامل</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1</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90,000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وحدة إدارة علاقات العملاء (CRM) بالكامل مع كود المصدر</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30,000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المتجر الإلكتروني (واجهة B2C + بوابة B2B) وبوابات الدفع، مع كود المصدر</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3</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20,000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تخصيص الهوية البصرية وتعديل الكتالوجات وربطها بمتاجر آبل وجوجل باسم الشركة</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4</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2,500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تسجيل نطاق (.com.eg) للسنة الأولى شاملاً استخراج المستندات والربط</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5</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20,000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التدريب الميداني والتهيئة والرفع الأولي للبيانات على سيرفرات الشركة</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6</w:t>
            </w:r>
          </w:p>
        </w:tc>
      </w:tr>
    </w:tbl>
    <w:p>
      <w:pPr>
        <w:spacing w:before="120" w:after="120" w:line="276" w:lineRule="auto"/>
        <w:jc w:val="right"/>
      </w:pPr>
      <w:r>
        <w:rPr>
          <w:b/>
        </w:rPr>
        <w:t xml:space="preserve">إجمالي تكلفة التنفيذ لمرة واحدة (السنة الأولى): </w:t>
      </w:r>
      <w:r>
        <w:rPr>
          <w:b/>
        </w:rPr>
        <w:t>412,500 ج.م (أربعمائة واثنا عشر ألفاً وخمسمائة جنيه مصري فقط لا غير).</w:t>
      </w:r>
    </w:p>
    <w:p>
      <w:pPr>
        <w:spacing w:after="80"/>
        <w:ind w:left="360" w:right="360"/>
        <w:jc w:val="right"/>
      </w:pPr>
      <w:r>
        <w:rPr>
          <w:rFonts w:ascii="Arial" w:hAnsi="Arial"/>
          <w:b/>
          <w:color w:val="800020"/>
        </w:rPr>
        <w:t xml:space="preserve">•  </w:t>
      </w:r>
      <w:r>
        <w:rPr>
          <w:rFonts w:ascii="Arial" w:hAnsi="Arial"/>
          <w:sz w:val="22"/>
          <w:lang w:val="ar-EG"/>
        </w:rPr>
        <w:t>عقد الدعم الفني والصيانة والتحديثات المستمرة لكل الأنظمة الثلاثة: 80,000 ج.م سنوياً (يبدأ السداد من العام الثاني).</w:t>
      </w:r>
    </w:p>
    <w:p>
      <w:pPr>
        <w:spacing w:after="80"/>
        <w:ind w:left="360" w:right="360"/>
        <w:jc w:val="right"/>
      </w:pPr>
      <w:r>
        <w:rPr>
          <w:rFonts w:ascii="Arial" w:hAnsi="Arial"/>
          <w:b/>
          <w:color w:val="800020"/>
        </w:rPr>
        <w:t xml:space="preserve">•  </w:t>
      </w:r>
      <w:r>
        <w:rPr>
          <w:rFonts w:ascii="Arial" w:hAnsi="Arial"/>
          <w:sz w:val="22"/>
          <w:lang w:val="ar-EG"/>
        </w:rPr>
        <w:t>تجديد نطاق (.com.eg) سنوياً: حوالي 1,500 ج.م.</w:t>
      </w:r>
    </w:p>
    <w:p>
      <w:pPr>
        <w:spacing w:before="0" w:after="120" w:line="276" w:lineRule="auto"/>
        <w:jc w:val="right"/>
      </w:pPr>
      <w:r>
        <w:rPr>
          <w:b/>
        </w:rPr>
        <w:t xml:space="preserve">جدول السداد المقترح: </w:t>
      </w:r>
      <w:r>
        <w:t>تُسدَّد قيمة هذا نموذج على 3 دفعات: 50% عند التوقيع، 30% عند تسليم المرحلتين الأولى والثانية، 20% عند التسليم النهائي وبدء التشغيل الفعلي.</w:t>
      </w:r>
    </w:p>
    <w:p>
      <w:pPr>
        <w:keepNext/>
        <w:spacing w:before="240" w:after="120"/>
        <w:jc w:val="right"/>
      </w:pPr>
      <w:r>
        <w:rPr>
          <w:rFonts w:ascii="Arial" w:hAnsi="Arial"/>
          <w:b/>
          <w:color w:val="B8860B"/>
          <w:sz w:val="28"/>
          <w:lang w:val="ar-EG"/>
        </w:rPr>
        <w:t>النموذج الثاني: الاشتراك السنوي المدار سحابياً (SaaS Subscription)</w:t>
      </w:r>
    </w:p>
    <w:p>
      <w:pPr>
        <w:spacing w:before="0" w:after="120" w:line="276" w:lineRule="auto"/>
        <w:jc w:val="right"/>
      </w:pPr>
      <w:r>
        <w:t>استضافة المنظومة الكاملة وتأمينها على خوادمنا السحابية المشفرة، مع تقديم دعم فني متواصل وحل المشاكل الفنية وتحديث التطبيقات مجاناً.</w:t>
      </w:r>
    </w:p>
    <w:tbl>
      <w:tblPr>
        <w:tblW w:type="auto" w:w="0"/>
        <w:jc w:val="center"/>
        <w:tblLook w:firstColumn="1" w:firstRow="1" w:lastColumn="0" w:lastRow="0" w:noHBand="0" w:noVBand="1" w:val="04A0"/>
        <w:tblCellMar>
          <w:top w:w="120" w:type="dxa"/>
          <w:bottom w:w="120" w:type="dxa"/>
          <w:left w:w="150" w:type="dxa"/>
          <w:right w:w="150" w:type="dxa"/>
        </w:tblCellMar>
        <w:bidiVisual/>
      </w:tblPr>
      <w:tblGrid>
        <w:gridCol w:w="3010"/>
        <w:gridCol w:w="3010"/>
        <w:gridCol w:w="3010"/>
      </w:tblGrid>
      <w:tr>
        <w:tc>
          <w:tcPr>
            <w:tcW w:type="dxa" w:w="2592"/>
            <w:shd w:fill="800020"/>
            <w:tcMar>
              <w:top w:w="140" w:type="dxa"/>
              <w:bottom w:w="140" w:type="dxa"/>
              <w:left w:w="180" w:type="dxa"/>
              <w:right w:w="180" w:type="dxa"/>
            </w:tcMar>
          </w:tcPr>
          <w:p>
            <w:pPr>
              <w:spacing w:before="80" w:after="80"/>
              <w:jc w:val="right"/>
            </w:pPr>
            <w:r>
              <w:rPr>
                <w:rFonts w:ascii="Arial" w:hAnsi="Arial"/>
                <w:b/>
                <w:color w:val="FFFFFF"/>
                <w:sz w:val="21"/>
                <w:lang w:val="ar-EG"/>
              </w:rPr>
              <w:t>التكلفة (ج.م)</w:t>
            </w:r>
          </w:p>
        </w:tc>
        <w:tc>
          <w:tcPr>
            <w:tcW w:type="dxa" w:w="6048"/>
            <w:shd w:fill="800020"/>
            <w:tcMar>
              <w:top w:w="140" w:type="dxa"/>
              <w:bottom w:w="140" w:type="dxa"/>
              <w:left w:w="180" w:type="dxa"/>
              <w:right w:w="180" w:type="dxa"/>
            </w:tcMar>
          </w:tcPr>
          <w:p>
            <w:pPr>
              <w:spacing w:before="80" w:after="80"/>
              <w:jc w:val="right"/>
            </w:pPr>
            <w:r>
              <w:rPr>
                <w:rFonts w:ascii="Arial" w:hAnsi="Arial"/>
                <w:b/>
                <w:color w:val="FFFFFF"/>
                <w:sz w:val="21"/>
                <w:lang w:val="ar-EG"/>
              </w:rPr>
              <w:t>البند والخدمات المشمولة</w:t>
            </w:r>
          </w:p>
        </w:tc>
        <w:tc>
          <w:tcPr>
            <w:tcW w:type="dxa" w:w="1152"/>
            <w:shd w:fill="800020"/>
            <w:tcMar>
              <w:top w:w="140" w:type="dxa"/>
              <w:bottom w:w="140" w:type="dxa"/>
              <w:left w:w="180" w:type="dxa"/>
              <w:right w:w="180" w:type="dxa"/>
            </w:tcMar>
          </w:tcPr>
          <w:p>
            <w:pPr>
              <w:spacing w:before="80" w:after="80"/>
              <w:jc w:val="right"/>
            </w:pPr>
            <w:r>
              <w:rPr>
                <w:rFonts w:ascii="Arial" w:hAnsi="Arial"/>
                <w:b/>
                <w:color w:val="FFFFFF"/>
                <w:sz w:val="21"/>
                <w:lang w:val="ar-EG"/>
              </w:rPr>
              <w:t>م</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45,000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رسوم إعداد وتهيئة النظام الكامل (ERP + CRM + المتجر الإلكتروني) وتدريب الموظفين لأول مرة (تُدفع لمرة واحدة)</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1</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2,500 ج.م</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تسجيل نطاق (.com.eg) للسنة الأولى شاملاً استخراج المستندات والربط (تُدفع لمرة واحدة)</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9,000 ج.م / شهرياً</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الاشتراك الشهري المدار لنظام الـ ERP (استضافة سحابية، دعم فني، نسخ احتياطي، تحديثات)</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3</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3,500 ج.م / شهرياً</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الاشتراك الشهري لوحدة الـ CRM (متابعة الصفقات وتذاكر الدعم والحملات الترويجية)</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4</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4,500 ج.م / شهرياً</w:t>
            </w:r>
          </w:p>
        </w:tc>
        <w:tc>
          <w:tcPr>
            <w:tcW w:type="dxa" w:w="604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الاشتراك الشهري للمتجر الإلكتروني (استضافة، بوابات الدفع، صيانة وتحديثات)</w:t>
            </w:r>
          </w:p>
        </w:tc>
        <w:tc>
          <w:tcPr>
            <w:tcW w:type="dxa" w:w="115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5</w:t>
            </w:r>
          </w:p>
        </w:tc>
      </w:tr>
    </w:tbl>
    <w:p>
      <w:pPr>
        <w:spacing w:before="120" w:after="120" w:line="276" w:lineRule="auto"/>
        <w:jc w:val="right"/>
      </w:pPr>
      <w:r>
        <w:rPr>
          <w:b/>
        </w:rPr>
        <w:t xml:space="preserve">إجمالي الاشتراك الشهري الموحّد: </w:t>
      </w:r>
      <w:r>
        <w:rPr>
          <w:b/>
        </w:rPr>
        <w:t>17,000 ج.م / شهرياً</w:t>
      </w:r>
    </w:p>
    <w:p>
      <w:pPr>
        <w:spacing w:before="0" w:after="120" w:line="276" w:lineRule="auto"/>
        <w:jc w:val="right"/>
      </w:pPr>
      <w:r>
        <w:rPr>
          <w:b/>
        </w:rPr>
        <w:t xml:space="preserve">إجمالي تكلفة السنة الأولى (الإعداد + تسجيل النطاق + 12 شهر اشتراك): </w:t>
      </w:r>
      <w:r>
        <w:rPr>
          <w:b/>
        </w:rPr>
        <w:t>251,500 ج.م (مائتان وواحد وخمسون ألفاً وخمسمائة جنيه مصري فقط لا غير).</w:t>
      </w:r>
    </w:p>
    <w:p>
      <w:pPr>
        <w:spacing w:after="80"/>
        <w:ind w:left="360" w:right="360"/>
        <w:jc w:val="right"/>
      </w:pPr>
      <w:r>
        <w:rPr>
          <w:rFonts w:ascii="Arial" w:hAnsi="Arial"/>
          <w:b/>
          <w:color w:val="800020"/>
        </w:rPr>
        <w:t xml:space="preserve">•  </w:t>
      </w:r>
      <w:r>
        <w:rPr>
          <w:rFonts w:ascii="Arial" w:hAnsi="Arial"/>
          <w:sz w:val="22"/>
          <w:lang w:val="ar-EG"/>
        </w:rPr>
        <w:t>تُحصَّل الرسوم الشهرية مقدماً في بداية كل شهر ميلادي، بعد سداد رسوم الإعداد والتهيئة لمرة واحدة عند التوقيع.</w:t>
      </w:r>
    </w:p>
    <w:p>
      <w:pPr>
        <w:keepNext/>
        <w:spacing w:before="240" w:after="120"/>
        <w:jc w:val="right"/>
      </w:pPr>
      <w:r>
        <w:rPr>
          <w:rFonts w:ascii="Arial" w:hAnsi="Arial"/>
          <w:b/>
          <w:color w:val="B8860B"/>
          <w:sz w:val="28"/>
          <w:lang w:val="ar-EG"/>
        </w:rPr>
        <w:t>ملخص مقارن بين النموذجين</w:t>
      </w:r>
    </w:p>
    <w:tbl>
      <w:tblPr>
        <w:tblW w:type="auto" w:w="0"/>
        <w:jc w:val="center"/>
        <w:tblLook w:firstColumn="1" w:firstRow="1" w:lastColumn="0" w:lastRow="0" w:noHBand="0" w:noVBand="1" w:val="04A0"/>
        <w:tblCellMar>
          <w:top w:w="120" w:type="dxa"/>
          <w:bottom w:w="120" w:type="dxa"/>
          <w:left w:w="150" w:type="dxa"/>
          <w:right w:w="150" w:type="dxa"/>
        </w:tblCellMar>
        <w:bidiVisual/>
      </w:tblPr>
      <w:tblGrid>
        <w:gridCol w:w="3010"/>
        <w:gridCol w:w="3010"/>
        <w:gridCol w:w="3010"/>
      </w:tblGrid>
      <w:tr>
        <w:tc>
          <w:tcPr>
            <w:tcW w:type="dxa" w:w="2160"/>
            <w:shd w:fill="800020"/>
            <w:tcMar>
              <w:top w:w="140" w:type="dxa"/>
              <w:bottom w:w="140" w:type="dxa"/>
              <w:left w:w="180" w:type="dxa"/>
              <w:right w:w="180" w:type="dxa"/>
            </w:tcMar>
          </w:tcPr>
          <w:p>
            <w:pPr>
              <w:spacing w:before="80" w:after="80"/>
              <w:jc w:val="right"/>
            </w:pPr>
            <w:r>
              <w:rPr>
                <w:rFonts w:ascii="Arial" w:hAnsi="Arial"/>
                <w:b/>
                <w:color w:val="FFFFFF"/>
                <w:sz w:val="21"/>
                <w:lang w:val="ar-EG"/>
              </w:rPr>
              <w:t>النموذج الثاني (SaaS)</w:t>
            </w:r>
          </w:p>
        </w:tc>
        <w:tc>
          <w:tcPr>
            <w:tcW w:type="dxa" w:w="3600"/>
            <w:shd w:fill="800020"/>
            <w:tcMar>
              <w:top w:w="140" w:type="dxa"/>
              <w:bottom w:w="140" w:type="dxa"/>
              <w:left w:w="180" w:type="dxa"/>
              <w:right w:w="180" w:type="dxa"/>
            </w:tcMar>
          </w:tcPr>
          <w:p>
            <w:pPr>
              <w:spacing w:before="80" w:after="80"/>
              <w:jc w:val="right"/>
            </w:pPr>
            <w:r>
              <w:rPr>
                <w:rFonts w:ascii="Arial" w:hAnsi="Arial"/>
                <w:b/>
                <w:color w:val="FFFFFF"/>
                <w:sz w:val="21"/>
                <w:lang w:val="ar-EG"/>
              </w:rPr>
              <w:t>النموذج الأول (التملك الكامل)</w:t>
            </w:r>
          </w:p>
        </w:tc>
        <w:tc>
          <w:tcPr>
            <w:tcW w:type="dxa" w:w="3600"/>
            <w:shd w:fill="800020"/>
            <w:tcMar>
              <w:top w:w="140" w:type="dxa"/>
              <w:bottom w:w="140" w:type="dxa"/>
              <w:left w:w="180" w:type="dxa"/>
              <w:right w:w="180" w:type="dxa"/>
            </w:tcMar>
          </w:tcPr>
          <w:p>
            <w:pPr>
              <w:spacing w:before="80" w:after="80"/>
              <w:jc w:val="right"/>
            </w:pPr>
            <w:r>
              <w:rPr>
                <w:rFonts w:ascii="Arial" w:hAnsi="Arial"/>
                <w:b/>
                <w:color w:val="FFFFFF"/>
                <w:sz w:val="21"/>
                <w:lang w:val="ar-EG"/>
              </w:rPr>
              <w:t>المعيار</w:t>
            </w:r>
          </w:p>
        </w:tc>
      </w:tr>
      <w:tr>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251,500 ج.م</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412,500 ج.م</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إجمالي السنة الأولى</w:t>
            </w:r>
          </w:p>
        </w:tc>
      </w:tr>
      <w:tr>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 204,000 ج.م (12 × الاشتراك الشهري)</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 81,500 ج.م (دعم + تجديد نطاق)</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التكلفة السنوية المتكررة بعد ذلك</w:t>
            </w:r>
          </w:p>
        </w:tc>
      </w:tr>
      <w:tr>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لا، اشتراك استخدام فقط</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نعم، ملكية كاملة</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ملكية كود المصدر</w:t>
            </w:r>
          </w:p>
        </w:tc>
      </w:tr>
      <w:tr>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السحابة المُدارة بالكامل من فريقنا</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سيرفرات الشركة الخاصة</w:t>
            </w:r>
          </w:p>
        </w:tc>
        <w:tc>
          <w:tcPr>
            <w:tcW w:type="dxa" w:w="360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مكان الاستضافة</w:t>
            </w:r>
          </w:p>
        </w:tc>
      </w:tr>
    </w:tbl>
    <w:p>
      <w:r>
        <w:br w:type="page"/>
      </w:r>
    </w:p>
    <w:p>
      <w:pPr>
        <w:keepNext/>
        <w:spacing w:before="240" w:after="120"/>
        <w:jc w:val="right"/>
      </w:pPr>
      <w:r>
        <w:rPr>
          <w:rFonts w:ascii="Arial" w:hAnsi="Arial"/>
          <w:b/>
          <w:color w:val="800020"/>
          <w:sz w:val="36"/>
          <w:lang w:val="ar-EG"/>
        </w:rPr>
        <w:t>4. الخطة الزمنية وتفاصيل التنفيذ للمشروع</w:t>
      </w:r>
    </w:p>
    <w:p>
      <w:pPr>
        <w:spacing w:before="0" w:after="120" w:line="276" w:lineRule="auto"/>
        <w:jc w:val="right"/>
      </w:pPr>
      <w:r>
        <w:t xml:space="preserve">يستغرق العمل وتخصيص المنظومة الكاملة (ERP + CRM + المتجر الإلكتروني) وإطلاقها بالكامل للأسطول والفريق التجاري </w:t>
      </w:r>
      <w:r>
        <w:rPr>
          <w:b/>
        </w:rPr>
        <w:t>12 أسبوعاً (حوالي 3 أشهر)</w:t>
      </w:r>
      <w:r>
        <w:t>، مقسمة على خمس مراحل رئيسية:</w:t>
      </w:r>
    </w:p>
    <w:tbl>
      <w:tblPr>
        <w:tblW w:type="auto" w:w="0"/>
        <w:jc w:val="center"/>
        <w:tblLook w:firstColumn="1" w:firstRow="1" w:lastColumn="0" w:lastRow="0" w:noHBand="0" w:noVBand="1" w:val="04A0"/>
        <w:tblCellMar>
          <w:top w:w="120" w:type="dxa"/>
          <w:bottom w:w="120" w:type="dxa"/>
          <w:left w:w="150" w:type="dxa"/>
          <w:right w:w="150" w:type="dxa"/>
        </w:tblCellMar>
        <w:bidiVisual/>
      </w:tblPr>
      <w:tblGrid>
        <w:gridCol w:w="3010"/>
        <w:gridCol w:w="3010"/>
        <w:gridCol w:w="3010"/>
      </w:tblGrid>
      <w:tr>
        <w:tc>
          <w:tcPr>
            <w:tcW w:type="dxa" w:w="2592"/>
            <w:shd w:fill="800020"/>
            <w:tcMar>
              <w:top w:w="140" w:type="dxa"/>
              <w:bottom w:w="140" w:type="dxa"/>
              <w:left w:w="180" w:type="dxa"/>
              <w:right w:w="180" w:type="dxa"/>
            </w:tcMar>
          </w:tcPr>
          <w:p>
            <w:pPr>
              <w:spacing w:before="80" w:after="80"/>
              <w:jc w:val="right"/>
            </w:pPr>
            <w:r>
              <w:rPr>
                <w:rFonts w:ascii="Arial" w:hAnsi="Arial"/>
                <w:b/>
                <w:color w:val="FFFFFF"/>
                <w:sz w:val="21"/>
                <w:lang w:val="ar-EG"/>
              </w:rPr>
              <w:t>المخرجات الرئيسية</w:t>
            </w:r>
          </w:p>
        </w:tc>
        <w:tc>
          <w:tcPr>
            <w:tcW w:type="dxa" w:w="5328"/>
            <w:shd w:fill="800020"/>
            <w:tcMar>
              <w:top w:w="140" w:type="dxa"/>
              <w:bottom w:w="140" w:type="dxa"/>
              <w:left w:w="180" w:type="dxa"/>
              <w:right w:w="180" w:type="dxa"/>
            </w:tcMar>
          </w:tcPr>
          <w:p>
            <w:pPr>
              <w:spacing w:before="80" w:after="80"/>
              <w:jc w:val="right"/>
            </w:pPr>
            <w:r>
              <w:rPr>
                <w:rFonts w:ascii="Arial" w:hAnsi="Arial"/>
                <w:b/>
                <w:color w:val="FFFFFF"/>
                <w:sz w:val="21"/>
                <w:lang w:val="ar-EG"/>
              </w:rPr>
              <w:t>الوصف والتفاصيل الفنية للمرحلة</w:t>
            </w:r>
          </w:p>
        </w:tc>
        <w:tc>
          <w:tcPr>
            <w:tcW w:type="dxa" w:w="2160"/>
            <w:shd w:fill="800020"/>
            <w:tcMar>
              <w:top w:w="140" w:type="dxa"/>
              <w:bottom w:w="140" w:type="dxa"/>
              <w:left w:w="180" w:type="dxa"/>
              <w:right w:w="180" w:type="dxa"/>
            </w:tcMar>
          </w:tcPr>
          <w:p>
            <w:pPr>
              <w:spacing w:before="80" w:after="80"/>
              <w:jc w:val="right"/>
            </w:pPr>
            <w:r>
              <w:rPr>
                <w:rFonts w:ascii="Arial" w:hAnsi="Arial"/>
                <w:b/>
                <w:color w:val="FFFFFF"/>
                <w:sz w:val="21"/>
                <w:lang w:val="ar-EG"/>
              </w:rPr>
              <w:t>المرحلة والمدة</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تهيئة قواعد البيانات وسيرفرات الاختبار ورفع كتالوج المنتجات الأولي</w:t>
            </w:r>
          </w:p>
        </w:tc>
        <w:tc>
          <w:tcPr>
            <w:tcW w:type="dxa" w:w="532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إعداد البنية التحتية والشبكة، ضبط خادم PostgreSQL، وتجهيز موديولات المصادقة والـ API والتحقق من الهوية وعقد المزامنة v1، بالإضافة إلى نموذج بيانات العميل الموحّد الذي تشترك فيه وحدتا الـ CRM والمتجر لاحقاً.</w:t>
            </w:r>
          </w:p>
        </w:tc>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المرحلة الأولى</w:t>
              <w:br/>
              <w:t>(2 أسابيع)</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إعداد تطبيق البيع والتوزيع والمبيعات الآجلة على الهواتف وتجربته ميدانياً</w:t>
            </w:r>
          </w:p>
        </w:tc>
        <w:tc>
          <w:tcPr>
            <w:tcW w:type="dxa" w:w="532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برمجة قاعدة SQLite المحلية ومحرك الفواتير المطبوعة بالبلوتوث وتكامل العروض والترويج وعقد المبيعات الآجلة وحدود الائتمان.</w:t>
            </w:r>
          </w:p>
        </w:tc>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المرحلة الثانية</w:t>
              <w:br/>
              <w:t>(2 أسابيع)</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إطلاق خط سير ومتابعة الصفقات والعملاء (CRM) داخل لوحة التحكم</w:t>
            </w:r>
          </w:p>
        </w:tc>
        <w:tc>
          <w:tcPr>
            <w:tcW w:type="dxa" w:w="532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بناء وحدة الـ CRM: خط سير ومتابعة الصفقات والاتفاقات، تذاكر الدعم، تقسيم العملاء، ومحرك الحملات عبر واتساب والرسائل النصية والبريد الإلكتروني.</w:t>
            </w:r>
          </w:p>
        </w:tc>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المرحلة الثالثة</w:t>
              <w:br/>
              <w:t>(4 أسابيع)</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إطلاق المتجر الإلكتروني وبدء البيع الرقمي المباشر تحت نطاق الشركة</w:t>
            </w:r>
          </w:p>
        </w:tc>
        <w:tc>
          <w:tcPr>
            <w:tcW w:type="dxa" w:w="532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بناء واجهة المتجر الإلكتروني (B2C وB2B) وربطها بالمخزون والأسعار ومحرك الائتمان، وتكامل بوابات الدفع، وإتمام تسجيل نطاق (.com.eg) وتفعيل شهادة SSL.</w:t>
            </w:r>
          </w:p>
        </w:tc>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المرحلة الرابعة</w:t>
              <w:br/>
              <w:t>(2 أسابيع)</w:t>
            </w:r>
          </w:p>
        </w:tc>
      </w:tr>
      <w:tr>
        <w:tc>
          <w:tcPr>
            <w:tcW w:type="dxa" w:w="2592"/>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إطلاق اللوحة الإدارية النهائية، تدريب السائقين والمناديب وفريق CRM، والبدء الفعلي للتشغيل</w:t>
            </w:r>
          </w:p>
        </w:tc>
        <w:tc>
          <w:tcPr>
            <w:tcW w:type="dxa" w:w="5328"/>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إنشاء تقارير المبيعات اليومية وجرد الجلسات ومراجعة الفروقات والربط الحسابي بين كل الأنظمة، والاختبار الميداني الشامل للتشغيل.</w:t>
            </w:r>
          </w:p>
        </w:tc>
        <w:tc>
          <w:tcPr>
            <w:tcW w:type="dxa" w:w="2160"/>
            <w:tcMar>
              <w:top w:w="100" w:type="dxa"/>
              <w:bottom w:w="100" w:type="dxa"/>
              <w:left w:w="150" w:type="dxa"/>
              <w:right w:w="150" w:type="dxa"/>
            </w:tcMar>
            <w:tcBorders>
              <w:top w:sz="4" w:val="single" w:color="D3D3D3"/>
              <w:bottom w:sz="4" w:val="single" w:color="D3D3D3"/>
              <w:left w:sz="4" w:val="single" w:color="D3D3D3"/>
              <w:right w:sz="4" w:val="single" w:color="D3D3D3"/>
            </w:tcBorders>
          </w:tcPr>
          <w:p>
            <w:pPr>
              <w:spacing w:before="80" w:after="80"/>
              <w:jc w:val="right"/>
            </w:pPr>
            <w:r>
              <w:rPr>
                <w:rFonts w:ascii="Arial" w:hAnsi="Arial"/>
                <w:sz w:val="21"/>
                <w:lang w:val="ar-EG"/>
              </w:rPr>
              <w:t>المرحلة الخامسة</w:t>
              <w:br/>
              <w:t>(2 أسابيع)</w:t>
            </w:r>
          </w:p>
        </w:tc>
      </w:tr>
    </w:tbl>
    <w:p>
      <w:pPr>
        <w:keepNext/>
        <w:spacing w:before="240" w:after="120"/>
        <w:jc w:val="right"/>
      </w:pPr>
      <w:r>
        <w:rPr>
          <w:rFonts w:ascii="Arial" w:hAnsi="Arial"/>
          <w:b/>
          <w:color w:val="B8860B"/>
          <w:sz w:val="28"/>
          <w:lang w:val="ar-EG"/>
        </w:rPr>
        <w:t>الخطوات القادمة وتفعيل التعاقد:</w:t>
      </w:r>
    </w:p>
    <w:p>
      <w:pPr>
        <w:spacing w:after="80"/>
        <w:ind w:left="360" w:right="360"/>
        <w:jc w:val="right"/>
      </w:pPr>
      <w:r>
        <w:rPr>
          <w:rFonts w:ascii="Arial" w:hAnsi="Arial"/>
          <w:b/>
          <w:color w:val="800020"/>
        </w:rPr>
        <w:t xml:space="preserve">•  </w:t>
      </w:r>
      <w:r>
        <w:rPr>
          <w:rFonts w:ascii="Arial" w:hAnsi="Arial"/>
          <w:sz w:val="22"/>
          <w:lang w:val="ar-EG"/>
        </w:rPr>
        <w:t>اختيار النموذج المالي المناسب لشركتكم (شراء الرخصة الكودية الكاملة أم الاشتراك السنوي السحابي).</w:t>
      </w:r>
    </w:p>
    <w:p>
      <w:pPr>
        <w:spacing w:after="80"/>
        <w:ind w:left="360" w:right="360"/>
        <w:jc w:val="right"/>
      </w:pPr>
      <w:r>
        <w:rPr>
          <w:rFonts w:ascii="Arial" w:hAnsi="Arial"/>
          <w:b/>
          <w:color w:val="800020"/>
        </w:rPr>
        <w:t xml:space="preserve">•  </w:t>
      </w:r>
      <w:r>
        <w:rPr>
          <w:rFonts w:ascii="Arial" w:hAnsi="Arial"/>
          <w:sz w:val="22"/>
          <w:lang w:val="ar-EG"/>
        </w:rPr>
        <w:t>توقيع العقود الفنية والمالية وسداد الدفعة الأولى لبدء المرحلة الأولى من المشروع.</w:t>
      </w:r>
    </w:p>
    <w:p>
      <w:pPr>
        <w:spacing w:after="80"/>
        <w:ind w:left="360" w:right="360"/>
        <w:jc w:val="right"/>
      </w:pPr>
      <w:r>
        <w:rPr>
          <w:rFonts w:ascii="Arial" w:hAnsi="Arial"/>
          <w:b/>
          <w:color w:val="800020"/>
        </w:rPr>
        <w:t xml:space="preserve">•  </w:t>
      </w:r>
      <w:r>
        <w:rPr>
          <w:rFonts w:ascii="Arial" w:hAnsi="Arial"/>
          <w:sz w:val="22"/>
          <w:lang w:val="ar-EG"/>
        </w:rPr>
        <w:t>عقد الجلسة الفنية التمهيدية لاستلام قائمة البراندات والمنتجات وبيانات السائقين والسيارات المعتمدة.</w:t>
      </w:r>
    </w:p>
    <w:p>
      <w:pPr>
        <w:spacing w:after="80"/>
        <w:ind w:left="360" w:right="360"/>
        <w:jc w:val="right"/>
      </w:pPr>
      <w:r>
        <w:rPr>
          <w:rFonts w:ascii="Arial" w:hAnsi="Arial"/>
          <w:b/>
          <w:color w:val="800020"/>
        </w:rPr>
        <w:t xml:space="preserve">•  </w:t>
      </w:r>
      <w:r>
        <w:rPr>
          <w:rFonts w:ascii="Arial" w:hAnsi="Arial"/>
          <w:sz w:val="22"/>
          <w:lang w:val="ar-EG"/>
        </w:rPr>
        <w:t>تجهيز بيانات الشركة الرسمية (السجل التجاري والبطاقة الضريبية) اللازمة لبدء إجراءات تسجيل نطاق (.com.eg).</w:t>
      </w:r>
    </w:p>
    <w:p>
      <w:pPr>
        <w:spacing w:before="0" w:after="360" w:line="276" w:lineRule="auto"/>
        <w:jc w:val="right"/>
      </w:pPr>
    </w:p>
    <w:p>
      <w:pPr>
        <w:spacing w:before="0" w:after="120" w:line="276" w:lineRule="auto"/>
        <w:jc w:val="center"/>
      </w:pPr>
      <w:r>
        <w:rPr>
          <w:b/>
          <w:color w:val="800020"/>
        </w:rPr>
        <w:t>نشكركم على اهتمامكم ونتطلع لأن نكون الشريك التقني لنجاح وتطوير أعمالكم.</w:t>
      </w:r>
    </w:p>
    <w:sectPr w:rsidR="00FC693F" w:rsidRPr="0006063C"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